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林芝市外事办公室法治政府建设年度报告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40"/>
          <w:lang w:val="en-US" w:eastAsia="zh-CN"/>
        </w:rPr>
      </w:pPr>
      <w:bookmarkStart w:id="0" w:name="_Toc663952456"/>
      <w:bookmarkStart w:id="1" w:name="_Toc663359648"/>
      <w:bookmarkStart w:id="2" w:name="_Toc852029061"/>
      <w:bookmarkStart w:id="3" w:name="_Toc673655268"/>
      <w:bookmarkStart w:id="4" w:name="_Toc2013376828_WPSOffice_Level1"/>
      <w:bookmarkStart w:id="5" w:name="_Toc872519232_WPSOffice_Level1"/>
      <w:bookmarkStart w:id="6" w:name="_Toc27101740"/>
      <w:bookmarkStart w:id="7" w:name="_Toc1142496859"/>
      <w:bookmarkStart w:id="8" w:name="_Toc600030569"/>
      <w:bookmarkStart w:id="9" w:name="_Toc18614501"/>
      <w:r>
        <w:rPr>
          <w:rFonts w:hint="eastAsia" w:ascii="仿宋_GB2312" w:eastAsia="仿宋_GB2312"/>
          <w:color w:val="000000"/>
          <w:sz w:val="32"/>
          <w:szCs w:val="32"/>
          <w:lang w:val="en-US" w:eastAsia="zh-CN"/>
        </w:rPr>
        <w:t>2023年，</w:t>
      </w:r>
      <w:r>
        <w:rPr>
          <w:rFonts w:hint="eastAsia" w:ascii="仿宋_GB2312" w:hAnsi="仿宋_GB2312" w:eastAsia="仿宋_GB2312" w:cs="仿宋_GB2312"/>
          <w:sz w:val="32"/>
          <w:szCs w:val="40"/>
          <w:lang w:val="en-US" w:eastAsia="zh-CN"/>
        </w:rPr>
        <w:t>在市委、市政府的坚强领导和市法治政府建设领导小组办公室的具体指导下，市外事办结合工作实际，深入学习贯彻习近平法治思想，</w:t>
      </w:r>
      <w:r>
        <w:rPr>
          <w:rFonts w:hint="eastAsia" w:ascii="仿宋_GB2312" w:eastAsia="仿宋_GB2312"/>
          <w:color w:val="000000"/>
          <w:sz w:val="32"/>
          <w:lang w:eastAsia="zh-CN"/>
        </w:rPr>
        <w:t>按照全面依法治市相关工作要求，扎实做好各项工作，</w:t>
      </w:r>
      <w:r>
        <w:rPr>
          <w:rFonts w:hint="eastAsia" w:ascii="仿宋_GB2312" w:hAnsi="仿宋_GB2312" w:eastAsia="仿宋_GB2312" w:cs="仿宋_GB2312"/>
          <w:sz w:val="32"/>
          <w:szCs w:val="40"/>
          <w:lang w:val="en-US" w:eastAsia="zh-CN"/>
        </w:rPr>
        <w:t>不断推进我办法治政府建设向纵深推进。</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b w:val="0"/>
          <w:bCs/>
          <w:color w:val="000000"/>
          <w:sz w:val="32"/>
          <w:lang w:val="en-US" w:eastAsia="zh-CN"/>
        </w:rPr>
      </w:pPr>
      <w:r>
        <w:rPr>
          <w:rFonts w:hint="eastAsia" w:ascii="黑体" w:hAnsi="黑体" w:eastAsia="黑体" w:cs="黑体"/>
          <w:b w:val="0"/>
          <w:bCs/>
          <w:color w:val="000000"/>
          <w:sz w:val="32"/>
          <w:lang w:eastAsia="zh-CN"/>
        </w:rPr>
        <w:t>一、</w:t>
      </w:r>
      <w:r>
        <w:rPr>
          <w:rFonts w:hint="eastAsia" w:ascii="黑体" w:hAnsi="黑体" w:eastAsia="黑体" w:cs="黑体"/>
          <w:b w:val="0"/>
          <w:bCs/>
          <w:color w:val="000000"/>
          <w:sz w:val="32"/>
          <w:lang w:val="en-US" w:eastAsia="zh-CN"/>
        </w:rPr>
        <w:t>2023年度推进法治政府建设的主要举措和成效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olor w:val="000000"/>
          <w:sz w:val="32"/>
          <w:lang w:val="en-US" w:eastAsia="zh-CN"/>
        </w:rPr>
      </w:pPr>
      <w:r>
        <w:rPr>
          <w:rFonts w:hint="eastAsia" w:ascii="楷体_GB2312" w:hAnsi="楷体_GB2312" w:eastAsia="楷体_GB2312" w:cs="楷体_GB2312"/>
          <w:b w:val="0"/>
          <w:bCs/>
          <w:color w:val="000000"/>
          <w:sz w:val="32"/>
          <w:lang w:eastAsia="zh-CN"/>
        </w:rPr>
        <w:t>（一）</w:t>
      </w:r>
      <w:r>
        <w:rPr>
          <w:rFonts w:hint="eastAsia" w:ascii="楷体_GB2312" w:hAnsi="楷体_GB2312" w:eastAsia="楷体_GB2312" w:cs="楷体_GB2312"/>
          <w:b w:val="0"/>
          <w:bCs w:val="0"/>
          <w:color w:val="000000"/>
          <w:sz w:val="32"/>
          <w:lang w:val="en-US" w:eastAsia="zh-CN"/>
        </w:rPr>
        <w:t>深入学习宣传习近平法治思想</w:t>
      </w:r>
      <w:bookmarkEnd w:id="3"/>
      <w:bookmarkEnd w:id="4"/>
      <w:bookmarkEnd w:id="5"/>
      <w:bookmarkEnd w:id="6"/>
      <w:bookmarkEnd w:id="7"/>
      <w:bookmarkEnd w:id="8"/>
      <w:bookmarkEnd w:id="9"/>
      <w:bookmarkStart w:id="10" w:name="_Toc595005822"/>
      <w:bookmarkStart w:id="11" w:name="_Toc1466135943"/>
      <w:bookmarkStart w:id="12" w:name="_Toc416073274"/>
      <w:r>
        <w:rPr>
          <w:rFonts w:hint="eastAsia" w:ascii="楷体_GB2312" w:hAnsi="楷体_GB2312" w:eastAsia="楷体_GB2312" w:cs="楷体_GB2312"/>
          <w:b w:val="0"/>
          <w:bCs w:val="0"/>
          <w:color w:val="000000"/>
          <w:sz w:val="32"/>
          <w:lang w:val="en-US" w:eastAsia="zh-CN"/>
        </w:rPr>
        <w:t>。</w:t>
      </w:r>
      <w:r>
        <w:rPr>
          <w:rFonts w:hint="eastAsia" w:ascii="仿宋_GB2312" w:hAnsi="仿宋_GB2312" w:eastAsia="仿宋_GB2312" w:cs="仿宋_GB2312"/>
          <w:b/>
          <w:bCs/>
          <w:color w:val="000000"/>
          <w:sz w:val="32"/>
          <w:szCs w:val="32"/>
          <w:shd w:val="clear" w:color="auto" w:fill="FFFFFF"/>
          <w:lang w:val="en-US" w:eastAsia="zh-CN"/>
        </w:rPr>
        <w:t>一是</w:t>
      </w:r>
      <w:r>
        <w:rPr>
          <w:rFonts w:hint="eastAsia" w:ascii="仿宋_GB2312" w:hAnsi="仿宋_GB2312" w:eastAsia="仿宋_GB2312" w:cs="仿宋_GB2312"/>
          <w:b w:val="0"/>
          <w:bCs w:val="0"/>
          <w:color w:val="000000"/>
          <w:sz w:val="32"/>
          <w:szCs w:val="32"/>
          <w:shd w:val="clear" w:color="auto" w:fill="FFFFFF"/>
          <w:lang w:val="en-US" w:eastAsia="zh-CN"/>
        </w:rPr>
        <w:t>将中央、自治区和林芝市有关依法治国、依法治藏、依法治市相关文件精神作为党组理论学习中心组学习的重要内容，</w:t>
      </w:r>
      <w:r>
        <w:rPr>
          <w:rFonts w:hint="eastAsia" w:ascii="仿宋_GB2312" w:hAnsi="仿宋_GB2312" w:eastAsia="仿宋_GB2312"/>
          <w:color w:val="000000"/>
          <w:sz w:val="32"/>
          <w:lang w:val="en-US" w:eastAsia="zh-CN"/>
        </w:rPr>
        <w:t>纳入本年度学习计划，将学习范围扩大到全体干部职工，进一步增强干部职工知法懂法守法用法意识，确保干部职工对学习内容入脑入心，落实到实际工作和生活中。</w:t>
      </w:r>
      <w:bookmarkEnd w:id="10"/>
      <w:bookmarkEnd w:id="11"/>
      <w:bookmarkEnd w:id="12"/>
      <w:r>
        <w:rPr>
          <w:rFonts w:hint="eastAsia" w:ascii="仿宋_GB2312" w:hAnsi="仿宋_GB2312" w:eastAsia="仿宋_GB2312"/>
          <w:b/>
          <w:bCs/>
          <w:color w:val="000000"/>
          <w:sz w:val="32"/>
          <w:lang w:val="en-US" w:eastAsia="zh-CN"/>
        </w:rPr>
        <w:t>二是</w:t>
      </w:r>
      <w:r>
        <w:rPr>
          <w:rFonts w:hint="eastAsia" w:ascii="仿宋_GB2312" w:hAnsi="仿宋_GB2312" w:eastAsia="仿宋_GB2312"/>
          <w:color w:val="000000"/>
          <w:sz w:val="32"/>
          <w:lang w:val="en-US" w:eastAsia="zh-CN"/>
        </w:rPr>
        <w:t>认真制定年度普法计划，按照“八五”普法计划，制定了《</w:t>
      </w:r>
      <w:r>
        <w:rPr>
          <w:rFonts w:hint="eastAsia" w:ascii="仿宋_GB2312" w:hAnsi="仿宋_GB2312" w:eastAsia="仿宋_GB2312"/>
          <w:color w:val="000000"/>
          <w:sz w:val="32"/>
          <w:lang w:val="en" w:eastAsia="zh-CN"/>
        </w:rPr>
        <w:t>林芝市外事办202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en" w:eastAsia="zh-CN"/>
        </w:rPr>
        <w:t>年度普法责任清单</w:t>
      </w:r>
      <w:r>
        <w:rPr>
          <w:rFonts w:hint="eastAsia" w:ascii="仿宋_GB2312" w:hAnsi="仿宋_GB2312" w:eastAsia="仿宋_GB2312"/>
          <w:color w:val="000000"/>
          <w:sz w:val="32"/>
          <w:lang w:val="en-US" w:eastAsia="zh-CN"/>
        </w:rPr>
        <w:t>》，明确了各科室普法任务和工作要求，综合科负责日常督查检查。</w:t>
      </w:r>
      <w:r>
        <w:rPr>
          <w:rFonts w:hint="eastAsia" w:ascii="仿宋_GB2312" w:hAnsi="仿宋_GB2312" w:eastAsia="仿宋_GB2312"/>
          <w:b/>
          <w:bCs/>
          <w:color w:val="000000"/>
          <w:sz w:val="32"/>
          <w:lang w:val="en-US" w:eastAsia="zh-CN"/>
        </w:rPr>
        <w:t>三是</w:t>
      </w:r>
      <w:r>
        <w:rPr>
          <w:rFonts w:hint="eastAsia" w:ascii="仿宋_GB2312" w:hAnsi="仿宋_GB2312" w:eastAsia="仿宋_GB2312"/>
          <w:color w:val="000000"/>
          <w:sz w:val="32"/>
          <w:lang w:val="en-US" w:eastAsia="zh-CN"/>
        </w:rPr>
        <w:t>大力宣传普法工作。适时利用LED显示屏滚动播放普法宣传标语，经常性利用工作群推送普法信息，积极参加“普法风暴”线上答题活动，多渠道、多角度开展普法宣传，让普法宣传融入干部职工日常生活，不断增强干部职工法律意识。</w:t>
      </w:r>
      <w:r>
        <w:rPr>
          <w:rFonts w:hint="eastAsia" w:ascii="仿宋_GB2312" w:hAnsi="仿宋_GB2312" w:eastAsia="仿宋_GB2312"/>
          <w:b/>
          <w:bCs/>
          <w:color w:val="000000"/>
          <w:sz w:val="32"/>
          <w:lang w:val="en-US" w:eastAsia="zh-CN"/>
        </w:rPr>
        <w:t>四是</w:t>
      </w:r>
      <w:r>
        <w:rPr>
          <w:rFonts w:hint="eastAsia" w:ascii="仿宋_GB2312" w:hAnsi="仿宋_GB2312" w:eastAsia="仿宋_GB2312"/>
          <w:color w:val="000000"/>
          <w:sz w:val="32"/>
          <w:lang w:val="en-US" w:eastAsia="zh-CN"/>
        </w:rPr>
        <w:t>结合外事业务特点，开展特色普法工作。制作《中华人民共和国陆地国界法90问》汉藏双语宣传手册，结合主题教育“四下基层”活动，深入边民群众特别是边境一线群众中广泛宣传《陆地国界法》，利用边境调研等时机，加强对边民群众的宣传教育，进一步增强边境地区群众的国家意识、国防意识、守边意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color w:val="000000"/>
          <w:sz w:val="32"/>
          <w:szCs w:val="32"/>
          <w:shd w:val="clear" w:color="auto" w:fill="FFFFFF"/>
          <w:lang w:val="en-US" w:eastAsia="zh-CN"/>
        </w:rPr>
      </w:pPr>
      <w:bookmarkStart w:id="13" w:name="_Toc1189634465"/>
      <w:bookmarkStart w:id="14" w:name="_Toc375028203"/>
      <w:bookmarkStart w:id="15" w:name="_Toc679077176"/>
      <w:r>
        <w:rPr>
          <w:rFonts w:hint="eastAsia" w:ascii="楷体_GB2312" w:hAnsi="楷体_GB2312" w:eastAsia="楷体_GB2312" w:cs="楷体_GB2312"/>
          <w:b w:val="0"/>
          <w:bCs w:val="0"/>
          <w:color w:val="000000"/>
          <w:sz w:val="32"/>
          <w:lang w:val="en-US" w:eastAsia="zh-CN"/>
        </w:rPr>
        <w:t>（二）</w:t>
      </w:r>
      <w:bookmarkEnd w:id="13"/>
      <w:bookmarkEnd w:id="14"/>
      <w:bookmarkEnd w:id="15"/>
      <w:bookmarkStart w:id="16" w:name="_Toc1553473567"/>
      <w:bookmarkStart w:id="17" w:name="_Toc1904248192"/>
      <w:bookmarkStart w:id="18" w:name="_Toc75144053"/>
      <w:r>
        <w:rPr>
          <w:rFonts w:hint="eastAsia" w:ascii="楷体_GB2312" w:hAnsi="楷体_GB2312" w:eastAsia="楷体_GB2312" w:cs="楷体_GB2312"/>
          <w:b w:val="0"/>
          <w:bCs w:val="0"/>
          <w:color w:val="000000"/>
          <w:sz w:val="32"/>
          <w:lang w:val="en-US" w:eastAsia="zh-CN"/>
        </w:rPr>
        <w:t>坚持依法行政，</w:t>
      </w:r>
      <w:r>
        <w:rPr>
          <w:rFonts w:hint="eastAsia" w:ascii="楷体_GB2312" w:hAnsi="楷体_GB2312" w:eastAsia="楷体_GB2312" w:cs="楷体_GB2312"/>
          <w:b w:val="0"/>
          <w:bCs/>
          <w:color w:val="000000"/>
          <w:sz w:val="32"/>
          <w:lang w:eastAsia="zh-CN"/>
        </w:rPr>
        <w:t>推进法治政府建设。</w:t>
      </w:r>
      <w:r>
        <w:rPr>
          <w:rFonts w:hint="eastAsia" w:ascii="仿宋_GB2312" w:hAnsi="仿宋_GB2312" w:eastAsia="仿宋_GB2312" w:cs="仿宋_GB2312"/>
          <w:b/>
          <w:bCs/>
          <w:color w:val="000000"/>
          <w:sz w:val="32"/>
          <w:lang w:val="en-US" w:eastAsia="zh-CN"/>
        </w:rPr>
        <w:t>一是</w:t>
      </w:r>
      <w:r>
        <w:rPr>
          <w:rFonts w:hint="eastAsia" w:ascii="Times New Roman" w:hAnsi="Times New Roman" w:eastAsia="仿宋_GB2312" w:cs="宋体"/>
          <w:color w:val="auto"/>
          <w:kern w:val="0"/>
          <w:sz w:val="32"/>
          <w:szCs w:val="32"/>
          <w:lang w:val="en-US" w:eastAsia="zh-CN"/>
        </w:rPr>
        <w:t>扎实推进依法决策，凡涉及项目建设、合同签订等重大事项，事前向法律顾问进行咨询，进行合法性审查。落实重大决策会前学法制度，在召开主任办公会和党组会时，会议议程第一项均按要求安排相关法律法规或相关文件精神学习，让全体参会人员进一步了解会议研究议题的法律依据。</w:t>
      </w:r>
      <w:r>
        <w:rPr>
          <w:rFonts w:hint="eastAsia" w:ascii="仿宋_GB2312" w:hAnsi="仿宋_GB2312" w:eastAsia="仿宋_GB2312"/>
          <w:b/>
          <w:bCs/>
          <w:sz w:val="32"/>
          <w:lang w:eastAsia="zh-CN"/>
        </w:rPr>
        <w:t>二是</w:t>
      </w:r>
      <w:r>
        <w:rPr>
          <w:rFonts w:hint="eastAsia" w:ascii="Times New Roman" w:hAnsi="Times New Roman" w:eastAsia="仿宋_GB2312" w:cs="宋体"/>
          <w:b w:val="0"/>
          <w:bCs w:val="0"/>
          <w:color w:val="auto"/>
          <w:kern w:val="0"/>
          <w:sz w:val="32"/>
          <w:szCs w:val="32"/>
          <w:lang w:eastAsia="zh-CN"/>
        </w:rPr>
        <w:t>落实政务公开制度。</w:t>
      </w:r>
      <w:r>
        <w:rPr>
          <w:rFonts w:hint="eastAsia" w:ascii="Times New Roman" w:hAnsi="Times New Roman" w:eastAsia="仿宋_GB2312" w:cs="宋体"/>
          <w:color w:val="auto"/>
          <w:kern w:val="0"/>
          <w:sz w:val="32"/>
          <w:szCs w:val="32"/>
          <w:lang w:eastAsia="zh-CN"/>
        </w:rPr>
        <w:t>严格执行国家、自治区和我市政务信息公开规定，坚持“公开为常态，不公开为例外”的原则，按规定的范围和时限在政府门户网站公开各类政务信息，全面保障广大人民群众的知情权、参与权和监督权，主动接受人民群众的监督。</w:t>
      </w:r>
      <w:bookmarkStart w:id="22" w:name="_GoBack"/>
      <w:r>
        <w:rPr>
          <w:rFonts w:hint="eastAsia" w:ascii="Times New Roman" w:hAnsi="Times New Roman" w:eastAsia="仿宋_GB2312" w:cs="宋体"/>
          <w:b/>
          <w:bCs/>
          <w:color w:val="auto"/>
          <w:kern w:val="0"/>
          <w:sz w:val="32"/>
          <w:szCs w:val="32"/>
          <w:lang w:val="en-US" w:eastAsia="zh-CN"/>
        </w:rPr>
        <w:t>三是</w:t>
      </w:r>
      <w:bookmarkEnd w:id="22"/>
      <w:r>
        <w:rPr>
          <w:rFonts w:hint="eastAsia" w:ascii="Times New Roman" w:hAnsi="Times New Roman" w:eastAsia="仿宋_GB2312" w:cs="宋体"/>
          <w:color w:val="auto"/>
          <w:kern w:val="0"/>
          <w:sz w:val="32"/>
          <w:szCs w:val="32"/>
          <w:lang w:val="en-US" w:eastAsia="zh-CN"/>
        </w:rPr>
        <w:t>按照市法治政府建设领导小组办公室、市普法办和市司法局相关要求，结合外事工作实际，及时报送涉及法治工作的有关情况和材料。</w:t>
      </w:r>
    </w:p>
    <w:bookmarkEnd w:id="16"/>
    <w:bookmarkEnd w:id="17"/>
    <w:bookmarkEnd w:id="18"/>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28"/>
          <w:lang w:val="en-US" w:eastAsia="zh-CN"/>
        </w:rPr>
      </w:pPr>
      <w:r>
        <w:rPr>
          <w:rFonts w:hint="eastAsia" w:ascii="黑体" w:hAnsi="黑体" w:eastAsia="黑体" w:cs="黑体"/>
          <w:color w:val="000000"/>
          <w:sz w:val="32"/>
          <w:szCs w:val="28"/>
          <w:lang w:val="en-US" w:eastAsia="zh-CN"/>
        </w:rPr>
        <w:t>二、2023年度推进法治政府建设存在的不足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Times New Roman"/>
          <w:sz w:val="32"/>
          <w:u w:val="none"/>
          <w:lang w:val="en-US" w:eastAsia="zh-CN"/>
        </w:rPr>
      </w:pPr>
      <w:r>
        <w:rPr>
          <w:rFonts w:hint="eastAsia" w:ascii="仿宋_GB2312" w:hAnsi="仿宋_GB2312" w:eastAsia="仿宋_GB2312" w:cs="仿宋_GB2312"/>
          <w:sz w:val="32"/>
          <w:szCs w:val="40"/>
          <w:lang w:val="en-US" w:eastAsia="zh-CN"/>
        </w:rPr>
        <w:t>当前，面对全面推进依法治国的新形势新任务新要求，我办在法治政府建设工作方面还存在一些问题和不足，</w:t>
      </w:r>
      <w:r>
        <w:rPr>
          <w:rFonts w:hint="eastAsia" w:ascii="仿宋_GB2312" w:hAnsi="仿宋_GB2312" w:eastAsia="仿宋_GB2312" w:cs="Times New Roman"/>
          <w:b/>
          <w:bCs/>
          <w:sz w:val="32"/>
          <w:u w:val="none"/>
          <w:lang w:val="en-US" w:eastAsia="zh-CN"/>
        </w:rPr>
        <w:t>一是</w:t>
      </w:r>
      <w:r>
        <w:rPr>
          <w:rFonts w:hint="eastAsia" w:ascii="仿宋_GB2312" w:hAnsi="仿宋_GB2312" w:eastAsia="仿宋_GB2312" w:cs="Times New Roman"/>
          <w:sz w:val="32"/>
          <w:u w:val="none"/>
          <w:lang w:val="en-US" w:eastAsia="zh-CN"/>
        </w:rPr>
        <w:t>普法形式手段较为单一，部分人员思想认识不到位，法治意识不强，对普法工作和法治政府建设理解比较片面，不能将所学法律知识运用到日常生活学习中去。</w:t>
      </w:r>
      <w:r>
        <w:rPr>
          <w:rFonts w:hint="eastAsia" w:ascii="仿宋_GB2312" w:hAnsi="仿宋_GB2312" w:eastAsia="仿宋_GB2312" w:cs="Times New Roman"/>
          <w:b/>
          <w:bCs/>
          <w:sz w:val="32"/>
          <w:u w:val="none"/>
          <w:lang w:val="en-US" w:eastAsia="zh-CN"/>
        </w:rPr>
        <w:t>二是</w:t>
      </w:r>
      <w:r>
        <w:rPr>
          <w:rFonts w:hint="eastAsia" w:ascii="仿宋_GB2312" w:hAnsi="仿宋_GB2312" w:eastAsia="仿宋_GB2312" w:cs="Times New Roman"/>
          <w:sz w:val="32"/>
          <w:u w:val="none"/>
          <w:lang w:val="en-US" w:eastAsia="zh-CN"/>
        </w:rPr>
        <w:t>个别人员法律素质与依法行政要求不相适应，政务公开的质量水平仍需进一步提高。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rPr>
      </w:pPr>
      <w:r>
        <w:rPr>
          <w:rFonts w:hint="eastAsia" w:ascii="黑体" w:hAnsi="黑体" w:eastAsia="黑体" w:cs="黑体"/>
          <w:color w:val="000000"/>
          <w:sz w:val="32"/>
          <w:szCs w:val="28"/>
          <w:lang w:val="en-US" w:eastAsia="zh-CN"/>
        </w:rPr>
        <w:t>三、2023年度党政主要负责人履行推进法治建设第一责任人职责，加强法治政府建设有关情况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val="0"/>
          <w:color w:val="000000"/>
          <w:sz w:val="32"/>
          <w:lang w:val="en-US" w:eastAsia="zh-CN"/>
        </w:rPr>
        <w:t>我办深入贯彻落实《党政主要负责人履行推进法治建设第一责任人职责规定》，党组书记和主任分别就各自岗位特点、外事业务实际制定了职责清单并在工作中严格落实法治建设第一责任人职责，加强法治政府建设。</w:t>
      </w: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b/>
          <w:bCs w:val="0"/>
          <w:color w:val="000000"/>
          <w:sz w:val="32"/>
          <w:szCs w:val="32"/>
          <w:lang w:val="en-US" w:eastAsia="zh-CN"/>
        </w:rPr>
        <w:t>是</w:t>
      </w:r>
      <w:r>
        <w:rPr>
          <w:rFonts w:hint="eastAsia" w:ascii="仿宋_GB2312" w:hAnsi="仿宋_GB2312" w:eastAsia="仿宋_GB2312" w:cs="仿宋_GB2312"/>
          <w:sz w:val="32"/>
          <w:szCs w:val="32"/>
        </w:rPr>
        <w:t>领导班子带头尊法学法守法用法</w:t>
      </w:r>
      <w:r>
        <w:rPr>
          <w:rFonts w:hint="eastAsia" w:ascii="仿宋_GB2312" w:hAnsi="仿宋_GB2312" w:eastAsia="仿宋_GB2312" w:cs="仿宋_GB2312"/>
          <w:sz w:val="32"/>
          <w:szCs w:val="32"/>
          <w:lang w:eastAsia="zh-CN"/>
        </w:rPr>
        <w:t>，不断提高</w:t>
      </w:r>
      <w:r>
        <w:rPr>
          <w:rFonts w:hint="eastAsia" w:ascii="仿宋_GB2312" w:hAnsi="仿宋_GB2312" w:eastAsia="仿宋_GB2312" w:cs="仿宋_GB2312"/>
          <w:sz w:val="32"/>
          <w:szCs w:val="32"/>
        </w:rPr>
        <w:t>依法行政、依法办事意识,提高法律</w:t>
      </w:r>
      <w:r>
        <w:rPr>
          <w:rFonts w:hint="eastAsia" w:ascii="仿宋_GB2312" w:hAnsi="仿宋_GB2312" w:eastAsia="仿宋_GB2312" w:cs="仿宋_GB2312"/>
          <w:sz w:val="32"/>
          <w:szCs w:val="32"/>
          <w:lang w:eastAsia="zh-CN"/>
        </w:rPr>
        <w:t>素养</w:t>
      </w:r>
      <w:r>
        <w:rPr>
          <w:rFonts w:hint="eastAsia" w:ascii="仿宋_GB2312" w:hAnsi="仿宋_GB2312" w:eastAsia="仿宋_GB2312" w:cs="仿宋_GB2312"/>
          <w:sz w:val="32"/>
          <w:szCs w:val="32"/>
        </w:rPr>
        <w:t>和依法行政能力。</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color w:val="000000"/>
          <w:sz w:val="32"/>
          <w:szCs w:val="32"/>
          <w:lang w:eastAsia="zh-CN"/>
        </w:rPr>
        <w:t>健</w:t>
      </w:r>
      <w:r>
        <w:rPr>
          <w:rFonts w:hint="eastAsia" w:ascii="仿宋_GB2312" w:hAnsi="仿宋_GB2312" w:eastAsia="仿宋_GB2312" w:cs="仿宋_GB2312"/>
          <w:b w:val="0"/>
          <w:bCs/>
          <w:color w:val="000000"/>
          <w:sz w:val="32"/>
          <w:szCs w:val="32"/>
          <w:lang w:eastAsia="zh-CN"/>
        </w:rPr>
        <w:t>全完善本单位内部制度，用制度管权管人管事。开展规范性文件清理，确保本部门各类制度、文件符合法律法规要求，禁止出现与法律法规和上级规定</w:t>
      </w:r>
      <w:r>
        <w:rPr>
          <w:rFonts w:hint="eastAsia" w:ascii="仿宋_GB2312" w:hAnsi="仿宋_GB2312" w:eastAsia="仿宋_GB2312" w:cs="仿宋_GB2312"/>
          <w:b w:val="0"/>
          <w:bCs/>
          <w:color w:val="000000"/>
          <w:sz w:val="32"/>
          <w:szCs w:val="32"/>
          <w:lang w:val="en-US" w:eastAsia="zh-CN"/>
        </w:rPr>
        <w:t>不一致的现象。</w:t>
      </w:r>
      <w:r>
        <w:rPr>
          <w:rFonts w:hint="eastAsia" w:ascii="仿宋_GB2312" w:hAnsi="仿宋_GB2312" w:eastAsia="仿宋_GB2312" w:cs="仿宋_GB2312"/>
          <w:b/>
          <w:bCs w:val="0"/>
          <w:color w:val="000000"/>
          <w:sz w:val="32"/>
          <w:szCs w:val="32"/>
          <w:lang w:eastAsia="zh-CN"/>
        </w:rPr>
        <w:t>三是</w:t>
      </w:r>
      <w:r>
        <w:rPr>
          <w:rFonts w:hint="eastAsia" w:ascii="仿宋_GB2312" w:hAnsi="仿宋_GB2312" w:eastAsia="仿宋_GB2312" w:cs="仿宋_GB2312"/>
          <w:b w:val="0"/>
          <w:bCs w:val="0"/>
          <w:sz w:val="32"/>
          <w:szCs w:val="32"/>
          <w:lang w:eastAsia="zh-CN"/>
        </w:rPr>
        <w:t>坚持依法行政，</w:t>
      </w:r>
      <w:r>
        <w:rPr>
          <w:rFonts w:hint="eastAsia" w:ascii="仿宋_GB2312" w:hAnsi="仿宋_GB2312" w:eastAsia="仿宋_GB2312" w:cs="仿宋_GB2312"/>
          <w:b w:val="0"/>
          <w:bCs/>
          <w:color w:val="000000"/>
          <w:sz w:val="32"/>
          <w:szCs w:val="32"/>
          <w:lang w:val="en-US" w:eastAsia="zh-CN"/>
        </w:rPr>
        <w:t>不断</w:t>
      </w:r>
      <w:r>
        <w:rPr>
          <w:rFonts w:hint="eastAsia" w:ascii="仿宋_GB2312" w:hAnsi="仿宋_GB2312" w:eastAsia="仿宋_GB2312" w:cs="仿宋_GB2312"/>
          <w:b w:val="0"/>
          <w:bCs/>
          <w:color w:val="000000"/>
          <w:sz w:val="32"/>
          <w:szCs w:val="32"/>
          <w:lang w:eastAsia="zh-CN"/>
        </w:rPr>
        <w:t>提高法规制度执行力，</w:t>
      </w:r>
      <w:r>
        <w:rPr>
          <w:rFonts w:hint="eastAsia" w:ascii="仿宋_GB2312" w:hAnsi="仿宋_GB2312" w:eastAsia="仿宋_GB2312" w:cs="仿宋_GB2312"/>
          <w:b w:val="0"/>
          <w:bCs/>
          <w:kern w:val="0"/>
          <w:sz w:val="32"/>
          <w:szCs w:val="32"/>
          <w:lang w:val="en-US" w:eastAsia="zh-CN"/>
        </w:rPr>
        <w:t>紧紧抓住“领导干部”这一关键少数，严格按照制度规定要求履行职责、行使权力、开展工作，坚决杜绝做选择、搞变通、打折扣等现象的发生。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28"/>
          <w:lang w:val="en-US" w:eastAsia="zh-CN"/>
        </w:rPr>
      </w:pPr>
      <w:r>
        <w:rPr>
          <w:rFonts w:hint="eastAsia" w:ascii="黑体" w:hAnsi="黑体" w:eastAsia="黑体" w:cs="黑体"/>
          <w:color w:val="000000"/>
          <w:sz w:val="32"/>
          <w:szCs w:val="28"/>
          <w:lang w:val="en-US" w:eastAsia="zh-CN"/>
        </w:rPr>
        <w:t>四、2024年度推进法治政府建设的主要安排</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eastAsia="仿宋_GB2312"/>
          <w:color w:val="000000"/>
          <w:sz w:val="32"/>
          <w:szCs w:val="28"/>
        </w:rPr>
      </w:pPr>
      <w:bookmarkStart w:id="19" w:name="_Toc942289666"/>
      <w:bookmarkStart w:id="20" w:name="_Toc1188419103"/>
      <w:bookmarkStart w:id="21" w:name="_Toc410168182"/>
      <w:r>
        <w:rPr>
          <w:rFonts w:hint="eastAsia" w:ascii="仿宋_GB2312" w:eastAsia="仿宋_GB2312"/>
          <w:color w:val="000000"/>
          <w:sz w:val="32"/>
          <w:szCs w:val="32"/>
          <w:lang w:eastAsia="zh-CN"/>
        </w:rPr>
        <w:t>下一步，我办将继续按照市法治政府建设领导小组和市普法办的要求，结合外事工作实际，进一步落实好法治政府建设各项工作，</w:t>
      </w:r>
      <w:r>
        <w:rPr>
          <w:rFonts w:hint="eastAsia" w:ascii="仿宋_GB2312" w:eastAsia="仿宋_GB2312"/>
          <w:color w:val="000000"/>
          <w:sz w:val="32"/>
          <w:szCs w:val="28"/>
        </w:rPr>
        <w:t>为</w:t>
      </w:r>
      <w:r>
        <w:rPr>
          <w:rFonts w:hint="eastAsia" w:ascii="仿宋_GB2312" w:eastAsia="仿宋_GB2312"/>
          <w:color w:val="000000"/>
          <w:sz w:val="32"/>
          <w:szCs w:val="28"/>
          <w:lang w:eastAsia="zh-CN"/>
        </w:rPr>
        <w:t>推动林芝高质量发展、促进改革开放先行</w:t>
      </w:r>
      <w:r>
        <w:rPr>
          <w:rFonts w:hint="eastAsia" w:ascii="仿宋_GB2312" w:eastAsia="仿宋_GB2312"/>
          <w:color w:val="000000"/>
          <w:sz w:val="32"/>
          <w:szCs w:val="28"/>
        </w:rPr>
        <w:t>做出应有的贡献。</w:t>
      </w:r>
      <w:bookmarkEnd w:id="19"/>
      <w:bookmarkEnd w:id="20"/>
      <w:bookmarkEnd w:id="2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hAnsiTheme="minorHAnsi" w:cstheme="minorBidi"/>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（一）推进领导干部尊法学法守法用法。</w:t>
      </w:r>
      <w:r>
        <w:rPr>
          <w:rFonts w:hint="eastAsia" w:ascii="仿宋_GB2312" w:eastAsia="仿宋_GB2312" w:hAnsiTheme="minorHAnsi" w:cstheme="minorBidi"/>
          <w:color w:val="000000"/>
          <w:kern w:val="2"/>
          <w:sz w:val="32"/>
          <w:szCs w:val="32"/>
          <w:lang w:val="en-US" w:eastAsia="zh-CN" w:bidi="ar-SA"/>
        </w:rPr>
        <w:t>进一步健全领导干部学法用法制度，严格落实办党组</w:t>
      </w:r>
      <w:r>
        <w:rPr>
          <w:rFonts w:hint="eastAsia" w:ascii="仿宋_GB2312" w:eastAsia="仿宋_GB2312" w:cstheme="minorBidi"/>
          <w:color w:val="000000"/>
          <w:kern w:val="2"/>
          <w:sz w:val="32"/>
          <w:szCs w:val="32"/>
          <w:lang w:val="en-US" w:eastAsia="zh-CN" w:bidi="ar-SA"/>
        </w:rPr>
        <w:t>理论学习</w:t>
      </w:r>
      <w:r>
        <w:rPr>
          <w:rFonts w:hint="eastAsia" w:ascii="仿宋_GB2312" w:eastAsia="仿宋_GB2312" w:hAnsiTheme="minorHAnsi" w:cstheme="minorBidi"/>
          <w:color w:val="000000"/>
          <w:kern w:val="2"/>
          <w:sz w:val="32"/>
          <w:szCs w:val="32"/>
          <w:lang w:val="en-US" w:eastAsia="zh-CN" w:bidi="ar-SA"/>
        </w:rPr>
        <w:t>中心组学法制度。切实提高领导干部运用法治思维和法治方式深化改革、推进发展，化解矛盾、维护稳定的能力。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hAnsiTheme="minorHAnsi" w:cstheme="minorBidi"/>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（二）全面落实国家工作人员学法考法工作。</w:t>
      </w:r>
      <w:r>
        <w:rPr>
          <w:rFonts w:hint="eastAsia" w:ascii="仿宋_GB2312" w:eastAsia="仿宋_GB2312" w:hAnsiTheme="minorHAnsi" w:cstheme="minorBidi"/>
          <w:color w:val="000000"/>
          <w:kern w:val="2"/>
          <w:sz w:val="32"/>
          <w:szCs w:val="32"/>
          <w:lang w:val="en-US" w:eastAsia="zh-CN" w:bidi="ar-SA"/>
        </w:rPr>
        <w:t>进一步明确参与国家工作人员年度考法的对象和重点内容，厘清科室和个人责任，充分利用“学习强国”平台推动机关工作人员学法用法，组织好工作人员无纸化普法学习和考试。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hAnsiTheme="minorHAnsi" w:cstheme="minorBidi"/>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 w:eastAsia="zh-CN" w:bidi="ar-SA"/>
        </w:rPr>
        <w:t>（三）</w:t>
      </w:r>
      <w:r>
        <w:rPr>
          <w:rFonts w:hint="eastAsia" w:ascii="楷体_GB2312" w:hAnsi="楷体_GB2312" w:eastAsia="楷体_GB2312" w:cs="楷体_GB2312"/>
          <w:color w:val="000000"/>
          <w:kern w:val="2"/>
          <w:sz w:val="32"/>
          <w:szCs w:val="32"/>
          <w:lang w:val="en-US" w:eastAsia="zh-CN" w:bidi="ar-SA"/>
        </w:rPr>
        <w:t>健全落实“谁执法谁普法”普法责任制。</w:t>
      </w:r>
      <w:r>
        <w:rPr>
          <w:rFonts w:hint="eastAsia" w:ascii="仿宋_GB2312" w:eastAsia="仿宋_GB2312" w:hAnsiTheme="minorHAnsi" w:cstheme="minorBidi"/>
          <w:color w:val="000000"/>
          <w:kern w:val="2"/>
          <w:sz w:val="32"/>
          <w:szCs w:val="32"/>
          <w:lang w:val="en-US" w:eastAsia="zh-CN" w:bidi="ar-SA"/>
        </w:rPr>
        <w:t>完善普法责任清单制度，全面落实国家机关“谁执法谁普法”履职情况报告评议制度。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hAnsiTheme="minorHAnsi" w:cstheme="minorBidi"/>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 w:eastAsia="zh-CN" w:bidi="ar-SA"/>
        </w:rPr>
        <w:t>（四）持续</w:t>
      </w:r>
      <w:r>
        <w:rPr>
          <w:rFonts w:hint="eastAsia" w:ascii="楷体_GB2312" w:hAnsi="楷体_GB2312" w:eastAsia="楷体_GB2312" w:cs="楷体_GB2312"/>
          <w:color w:val="000000"/>
          <w:kern w:val="2"/>
          <w:sz w:val="32"/>
          <w:szCs w:val="32"/>
          <w:lang w:val="en-US" w:eastAsia="zh-CN" w:bidi="ar-SA"/>
        </w:rPr>
        <w:t>推动法治政府建设。</w:t>
      </w:r>
      <w:r>
        <w:rPr>
          <w:rFonts w:hint="eastAsia" w:ascii="仿宋_GB2312" w:eastAsia="仿宋_GB2312" w:hAnsiTheme="minorHAnsi" w:cstheme="minorBidi"/>
          <w:color w:val="000000"/>
          <w:kern w:val="2"/>
          <w:sz w:val="32"/>
          <w:szCs w:val="32"/>
          <w:lang w:val="en-US" w:eastAsia="zh-CN" w:bidi="ar-SA"/>
        </w:rPr>
        <w:t>推进守法普法规范化、制度化建设，及时调整完善普法工作领导小组及其办公室，推动建立党组统一领导的普法依法治理工作领导机制。教育</w:t>
      </w:r>
      <w:r>
        <w:rPr>
          <w:rFonts w:hint="default" w:ascii="仿宋_GB2312" w:eastAsia="仿宋_GB2312" w:hAnsiTheme="minorHAnsi" w:cstheme="minorBidi"/>
          <w:color w:val="000000"/>
          <w:kern w:val="2"/>
          <w:sz w:val="32"/>
          <w:szCs w:val="32"/>
          <w:lang w:val="en" w:eastAsia="zh-CN" w:bidi="ar-SA"/>
        </w:rPr>
        <w:t>全体</w:t>
      </w:r>
      <w:r>
        <w:rPr>
          <w:rFonts w:hint="eastAsia" w:ascii="仿宋_GB2312" w:eastAsia="仿宋_GB2312" w:hAnsiTheme="minorHAnsi" w:cstheme="minorBidi"/>
          <w:color w:val="000000"/>
          <w:kern w:val="2"/>
          <w:sz w:val="32"/>
          <w:szCs w:val="32"/>
          <w:lang w:val="en" w:eastAsia="zh-CN" w:bidi="ar-SA"/>
        </w:rPr>
        <w:t>干部职工在日常工作中，进一步提高法律意识，</w:t>
      </w:r>
      <w:r>
        <w:rPr>
          <w:rFonts w:hint="eastAsia" w:ascii="仿宋_GB2312" w:eastAsia="仿宋_GB2312" w:hAnsiTheme="minorHAnsi" w:cstheme="minorBidi"/>
          <w:color w:val="000000"/>
          <w:kern w:val="2"/>
          <w:sz w:val="32"/>
          <w:szCs w:val="32"/>
          <w:lang w:val="en-US" w:eastAsia="zh-CN" w:bidi="ar-SA"/>
        </w:rPr>
        <w:t>围绕中心工作，真抓实干，力戒形式主义和官僚主义，提高学法用法和依法服务群众质量。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u w:val="none"/>
          <w:lang w:val="en" w:eastAsia="zh-CN"/>
        </w:rPr>
      </w:pPr>
      <w:r>
        <w:rPr>
          <w:rFonts w:hint="eastAsia" w:ascii="黑体" w:hAnsi="黑体" w:eastAsia="黑体" w:cs="黑体"/>
          <w:sz w:val="32"/>
          <w:u w:val="none"/>
          <w:lang w:val="en" w:eastAsia="zh-CN"/>
        </w:rPr>
        <w:t>五、其他需要报告的情况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u w:val="none"/>
          <w:lang w:val="en" w:eastAsia="zh-CN"/>
        </w:rPr>
      </w:pPr>
      <w:r>
        <w:rPr>
          <w:rFonts w:hint="eastAsia" w:ascii="仿宋_GB2312" w:hAnsi="仿宋_GB2312" w:eastAsia="仿宋_GB2312"/>
          <w:sz w:val="32"/>
          <w:u w:val="none"/>
          <w:lang w:val="en" w:eastAsia="zh-CN"/>
        </w:rPr>
        <w:t>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color w:val="000000"/>
          <w:sz w:val="32"/>
          <w:szCs w:val="28"/>
          <w:lang w:val="en-US" w:eastAsia="zh-CN"/>
        </w:rPr>
      </w:pPr>
    </w:p>
    <w:p>
      <w:pPr>
        <w:pStyle w:val="6"/>
        <w:pageBreakBefore w:val="0"/>
        <w:widowControl w:val="0"/>
        <w:kinsoku/>
        <w:wordWrap/>
        <w:overflowPunct/>
        <w:topLinePunct w:val="0"/>
        <w:autoSpaceDE/>
        <w:autoSpaceDN/>
        <w:bidi w:val="0"/>
        <w:adjustRightInd/>
        <w:snapToGrid/>
        <w:spacing w:before="0" w:beforeLines="0" w:after="0" w:afterLines="0" w:line="576" w:lineRule="exact"/>
        <w:textAlignment w:val="auto"/>
        <w:rPr>
          <w:rFonts w:hint="eastAsia" w:ascii="黑体" w:hAnsi="黑体" w:eastAsia="黑体" w:cs="黑体"/>
          <w:sz w:val="32"/>
          <w:lang w:val="en-US" w:eastAsia="zh-CN"/>
        </w:rPr>
      </w:pPr>
    </w:p>
    <w:p>
      <w:pPr>
        <w:pageBreakBefore w:val="0"/>
        <w:widowControl w:val="0"/>
        <w:kinsoku/>
        <w:wordWrap/>
        <w:overflowPunct/>
        <w:topLinePunct w:val="0"/>
        <w:autoSpaceDE/>
        <w:autoSpaceDN/>
        <w:bidi w:val="0"/>
        <w:adjustRightInd/>
        <w:snapToGrid/>
        <w:spacing w:line="576" w:lineRule="exact"/>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00"/>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EEB3439"/>
    <w:rsid w:val="23E95A16"/>
    <w:rsid w:val="27F9E37D"/>
    <w:rsid w:val="27FFB4EC"/>
    <w:rsid w:val="2BFF91AD"/>
    <w:rsid w:val="2FFF7B6A"/>
    <w:rsid w:val="3477397D"/>
    <w:rsid w:val="37EDA4C5"/>
    <w:rsid w:val="37FFDEE0"/>
    <w:rsid w:val="3B7E2060"/>
    <w:rsid w:val="3BDD893B"/>
    <w:rsid w:val="3BFB9752"/>
    <w:rsid w:val="3CDBBFC4"/>
    <w:rsid w:val="3DFCEAD4"/>
    <w:rsid w:val="3EDDC2F5"/>
    <w:rsid w:val="3EFD2BD7"/>
    <w:rsid w:val="3F6F7E12"/>
    <w:rsid w:val="3F9FA41B"/>
    <w:rsid w:val="3FBB6D53"/>
    <w:rsid w:val="45FBDD19"/>
    <w:rsid w:val="4A1947CF"/>
    <w:rsid w:val="4BD5E122"/>
    <w:rsid w:val="4BF81A40"/>
    <w:rsid w:val="4EC92A47"/>
    <w:rsid w:val="4F7F4431"/>
    <w:rsid w:val="557FD095"/>
    <w:rsid w:val="579F684C"/>
    <w:rsid w:val="57F72A95"/>
    <w:rsid w:val="57F77B5C"/>
    <w:rsid w:val="57F92DA6"/>
    <w:rsid w:val="57FFB82E"/>
    <w:rsid w:val="58AD70A5"/>
    <w:rsid w:val="5ABF0FBF"/>
    <w:rsid w:val="5B7EC101"/>
    <w:rsid w:val="5B7FC8AF"/>
    <w:rsid w:val="5BAF330B"/>
    <w:rsid w:val="5BFAEE84"/>
    <w:rsid w:val="5D9C0654"/>
    <w:rsid w:val="5DFDB53C"/>
    <w:rsid w:val="5E67E3DD"/>
    <w:rsid w:val="5FBB0C8E"/>
    <w:rsid w:val="5FDA5DC1"/>
    <w:rsid w:val="66AB34E9"/>
    <w:rsid w:val="67D67872"/>
    <w:rsid w:val="68D7EC2F"/>
    <w:rsid w:val="6AFFC326"/>
    <w:rsid w:val="6B0B9F77"/>
    <w:rsid w:val="6BBF9BFF"/>
    <w:rsid w:val="6BF7BE11"/>
    <w:rsid w:val="6DDE4936"/>
    <w:rsid w:val="6DF1E988"/>
    <w:rsid w:val="6EDF3879"/>
    <w:rsid w:val="6FB64E1B"/>
    <w:rsid w:val="6FB70C4C"/>
    <w:rsid w:val="6FE7E19D"/>
    <w:rsid w:val="6FEF6FF9"/>
    <w:rsid w:val="6FFDEF1D"/>
    <w:rsid w:val="73BF525E"/>
    <w:rsid w:val="73FF08A3"/>
    <w:rsid w:val="75B50183"/>
    <w:rsid w:val="75FD0D87"/>
    <w:rsid w:val="777758C9"/>
    <w:rsid w:val="77F60862"/>
    <w:rsid w:val="77F9C609"/>
    <w:rsid w:val="794F0E8D"/>
    <w:rsid w:val="7953328F"/>
    <w:rsid w:val="7A8FCA05"/>
    <w:rsid w:val="7B7F4E31"/>
    <w:rsid w:val="7BDBFDA8"/>
    <w:rsid w:val="7BFD46ED"/>
    <w:rsid w:val="7CCF8613"/>
    <w:rsid w:val="7CDFA361"/>
    <w:rsid w:val="7D635247"/>
    <w:rsid w:val="7D7FCD11"/>
    <w:rsid w:val="7DDFD691"/>
    <w:rsid w:val="7DEF29A9"/>
    <w:rsid w:val="7DFD6384"/>
    <w:rsid w:val="7DFFA304"/>
    <w:rsid w:val="7E737C89"/>
    <w:rsid w:val="7EFFCDCB"/>
    <w:rsid w:val="7F1EE7D2"/>
    <w:rsid w:val="7F5BBC38"/>
    <w:rsid w:val="7F6DFDE1"/>
    <w:rsid w:val="7F6FEF72"/>
    <w:rsid w:val="7F7A11F4"/>
    <w:rsid w:val="7F7B6D70"/>
    <w:rsid w:val="7F7DD1CE"/>
    <w:rsid w:val="7F7F3017"/>
    <w:rsid w:val="7FBFC94C"/>
    <w:rsid w:val="7FCFDF96"/>
    <w:rsid w:val="7FDE3959"/>
    <w:rsid w:val="7FEE52EF"/>
    <w:rsid w:val="7FF74983"/>
    <w:rsid w:val="7FFBF917"/>
    <w:rsid w:val="7FFD1543"/>
    <w:rsid w:val="7FFE90D2"/>
    <w:rsid w:val="7FFECC77"/>
    <w:rsid w:val="7FFEF9B6"/>
    <w:rsid w:val="7FFFC9D0"/>
    <w:rsid w:val="7FFFE09D"/>
    <w:rsid w:val="96FD9C68"/>
    <w:rsid w:val="97F73B54"/>
    <w:rsid w:val="9BFE0CC3"/>
    <w:rsid w:val="9DEDE81C"/>
    <w:rsid w:val="9FA1179F"/>
    <w:rsid w:val="A6ABE692"/>
    <w:rsid w:val="AFA74EE3"/>
    <w:rsid w:val="B05E7A69"/>
    <w:rsid w:val="B69A52F1"/>
    <w:rsid w:val="B77DB1D9"/>
    <w:rsid w:val="B7AF14B6"/>
    <w:rsid w:val="B9AFBC3F"/>
    <w:rsid w:val="B9CDEF22"/>
    <w:rsid w:val="BB56ABFE"/>
    <w:rsid w:val="BB58A266"/>
    <w:rsid w:val="BBBE33B8"/>
    <w:rsid w:val="BBD2EEE5"/>
    <w:rsid w:val="BBDDD5FC"/>
    <w:rsid w:val="BBDF42E1"/>
    <w:rsid w:val="BBFE4B57"/>
    <w:rsid w:val="BE93CFFB"/>
    <w:rsid w:val="BFD62B43"/>
    <w:rsid w:val="BFF3A794"/>
    <w:rsid w:val="BFF751C0"/>
    <w:rsid w:val="BFFEFDF1"/>
    <w:rsid w:val="CAFA8B74"/>
    <w:rsid w:val="CF56CCDC"/>
    <w:rsid w:val="D4FBA6E3"/>
    <w:rsid w:val="D6F7B6E0"/>
    <w:rsid w:val="D6F87CE7"/>
    <w:rsid w:val="D70FA396"/>
    <w:rsid w:val="D79BA2F8"/>
    <w:rsid w:val="DB119300"/>
    <w:rsid w:val="DB3BB042"/>
    <w:rsid w:val="DB3F4706"/>
    <w:rsid w:val="DB6F8B82"/>
    <w:rsid w:val="DE6DB3D0"/>
    <w:rsid w:val="DEB3A86B"/>
    <w:rsid w:val="DEF9CE2B"/>
    <w:rsid w:val="DEFFE338"/>
    <w:rsid w:val="DF364D9F"/>
    <w:rsid w:val="DFFFFAB0"/>
    <w:rsid w:val="EAFE79B9"/>
    <w:rsid w:val="EBEEF11C"/>
    <w:rsid w:val="EBFB0117"/>
    <w:rsid w:val="ECDFDD1C"/>
    <w:rsid w:val="EDFDB7F9"/>
    <w:rsid w:val="EDFF8BB1"/>
    <w:rsid w:val="EE3F210C"/>
    <w:rsid w:val="EF7598D2"/>
    <w:rsid w:val="EF8EFEBD"/>
    <w:rsid w:val="EFD62371"/>
    <w:rsid w:val="EFDB01C8"/>
    <w:rsid w:val="EFDD6085"/>
    <w:rsid w:val="EFDF3004"/>
    <w:rsid w:val="EFFF6C68"/>
    <w:rsid w:val="F1A36536"/>
    <w:rsid w:val="F29F70D2"/>
    <w:rsid w:val="F6CB57DB"/>
    <w:rsid w:val="F6CF9CE7"/>
    <w:rsid w:val="F6FBA367"/>
    <w:rsid w:val="F7BD6BF1"/>
    <w:rsid w:val="F7C3A923"/>
    <w:rsid w:val="F7C4D6C0"/>
    <w:rsid w:val="F7FD3D87"/>
    <w:rsid w:val="F86E721C"/>
    <w:rsid w:val="F99FF513"/>
    <w:rsid w:val="FAAC670F"/>
    <w:rsid w:val="FAEFB887"/>
    <w:rsid w:val="FB3B3C32"/>
    <w:rsid w:val="FBA5CA37"/>
    <w:rsid w:val="FBEE38D6"/>
    <w:rsid w:val="FBFCE629"/>
    <w:rsid w:val="FC0E8738"/>
    <w:rsid w:val="FC9D538D"/>
    <w:rsid w:val="FD4CE37D"/>
    <w:rsid w:val="FD7F06CE"/>
    <w:rsid w:val="FD7FCA97"/>
    <w:rsid w:val="FDBF5B1F"/>
    <w:rsid w:val="FDBFEC56"/>
    <w:rsid w:val="FDED8284"/>
    <w:rsid w:val="FDF5F61F"/>
    <w:rsid w:val="FDFA261B"/>
    <w:rsid w:val="FDFE31E8"/>
    <w:rsid w:val="FDFF64D4"/>
    <w:rsid w:val="FDFFE61A"/>
    <w:rsid w:val="FF15A264"/>
    <w:rsid w:val="FF2A320A"/>
    <w:rsid w:val="FF390D50"/>
    <w:rsid w:val="FF6BC186"/>
    <w:rsid w:val="FF71383E"/>
    <w:rsid w:val="FF7C9296"/>
    <w:rsid w:val="FFAF5A87"/>
    <w:rsid w:val="FFB70F49"/>
    <w:rsid w:val="FFD3F530"/>
    <w:rsid w:val="FFF35A62"/>
    <w:rsid w:val="FFFDC23A"/>
    <w:rsid w:val="FFFE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0" w:beforeLines="0" w:after="0" w:afterLines="0" w:line="560" w:lineRule="exact"/>
      <w:jc w:val="left"/>
      <w:outlineLvl w:val="0"/>
    </w:pPr>
    <w:rPr>
      <w:rFonts w:eastAsia="方正小标宋简体"/>
      <w:bCs/>
      <w:kern w:val="44"/>
      <w:sz w:val="21"/>
      <w:szCs w:val="44"/>
      <w:lang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3540"/>
      </w:tabs>
      <w:ind w:firstLine="420" w:firstLineChars="200"/>
    </w:pPr>
  </w:style>
  <w:style w:type="paragraph" w:styleId="3">
    <w:name w:val="Body Text Indent"/>
    <w:basedOn w:val="1"/>
    <w:next w:val="4"/>
    <w:qFormat/>
    <w:uiPriority w:val="0"/>
    <w:pPr>
      <w:tabs>
        <w:tab w:val="left" w:pos="3540"/>
      </w:tabs>
      <w:ind w:right="-1" w:firstLine="640" w:firstLineChars="200"/>
    </w:pPr>
    <w:rPr>
      <w:rFonts w:ascii="仿宋_GB2312" w:hAnsi="Times New Roman" w:eastAsia="仿宋_GB2312" w:cs="Times New Roman"/>
      <w:sz w:val="32"/>
      <w:szCs w:val="20"/>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toc 3"/>
    <w:basedOn w:val="1"/>
    <w:next w:val="1"/>
    <w:qFormat/>
    <w:uiPriority w:val="0"/>
    <w:pPr>
      <w:ind w:left="840" w:leftChars="400"/>
    </w:pPr>
  </w:style>
  <w:style w:type="paragraph" w:styleId="7">
    <w:name w:val="Normal Indent"/>
    <w:basedOn w:val="1"/>
    <w:qFormat/>
    <w:uiPriority w:val="0"/>
    <w:pPr>
      <w:widowControl w:val="0"/>
      <w:adjustRightInd/>
      <w:snapToGrid/>
      <w:spacing w:after="0" w:afterLines="0"/>
      <w:ind w:firstLine="420" w:firstLineChars="200"/>
      <w:jc w:val="both"/>
    </w:pPr>
    <w:rPr>
      <w:rFonts w:ascii="Calibri" w:hAnsi="Calibri" w:eastAsia="宋体" w:cs="Times New Roman"/>
      <w:kern w:val="2"/>
      <w:sz w:val="21"/>
      <w:szCs w:val="24"/>
      <w:lang w:val="en-US" w:eastAsia="zh-CN" w:bidi="ar-SA"/>
    </w:rPr>
  </w:style>
  <w:style w:type="paragraph" w:styleId="8">
    <w:name w:val="Body Text"/>
    <w:basedOn w:val="9"/>
    <w:next w:val="1"/>
    <w:qFormat/>
    <w:uiPriority w:val="0"/>
    <w:pPr>
      <w:adjustRightInd w:val="0"/>
      <w:snapToGrid w:val="0"/>
      <w:spacing w:after="120" w:afterLines="0"/>
    </w:pPr>
    <w:rPr>
      <w:rFonts w:ascii="Tahoma" w:hAnsi="Tahoma" w:eastAsia="微软雅黑" w:cs="Times New Roman"/>
      <w:kern w:val="0"/>
      <w:sz w:val="22"/>
      <w:szCs w:val="22"/>
      <w:lang w:val="en-US" w:eastAsia="zh-CN" w:bidi="ar-SA"/>
    </w:rPr>
  </w:style>
  <w:style w:type="paragraph" w:styleId="9">
    <w:name w:val="Body Text 2"/>
    <w:basedOn w:val="1"/>
    <w:qFormat/>
    <w:uiPriority w:val="0"/>
    <w:pPr>
      <w:spacing w:line="576" w:lineRule="exact"/>
    </w:pPr>
    <w:rPr>
      <w:rFonts w:ascii="Calibri" w:hAnsi="Calibri" w:eastAsia="仿宋_GB2312" w:cs="Times New Roman"/>
      <w:sz w:val="3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8"/>
    <w:next w:val="7"/>
    <w:qFormat/>
    <w:uiPriority w:val="0"/>
    <w:pPr>
      <w:adjustRightInd w:val="0"/>
      <w:snapToGrid w:val="0"/>
      <w:spacing w:after="120" w:afterLines="0"/>
      <w:ind w:firstLine="420" w:firstLineChars="100"/>
    </w:pPr>
    <w:rPr>
      <w:rFonts w:ascii="Tahoma" w:hAnsi="Tahoma" w:eastAsia="微软雅黑" w:cs="Times New Roman"/>
      <w:kern w:val="0"/>
      <w:sz w:val="22"/>
      <w:szCs w:val="22"/>
      <w:lang w:val="en-US" w:eastAsia="zh-CN" w:bidi="ar-SA"/>
    </w:rPr>
  </w:style>
  <w:style w:type="paragraph" w:customStyle="1" w:styleId="15">
    <w:name w:val="正文首行缩进 21"/>
    <w:basedOn w:val="16"/>
    <w:qFormat/>
    <w:uiPriority w:val="0"/>
    <w:pPr>
      <w:ind w:firstLine="420" w:firstLineChars="200"/>
    </w:pPr>
  </w:style>
  <w:style w:type="paragraph" w:customStyle="1" w:styleId="16">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lk01</cp:lastModifiedBy>
  <cp:lastPrinted>2024-03-26T02:43:00Z</cp:lastPrinted>
  <dcterms:modified xsi:type="dcterms:W3CDTF">2024-03-25T11:44:16Z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